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6F7D" w:rsidRDefault="006C5236">
      <w:pPr>
        <w:spacing w:line="480" w:lineRule="auto"/>
        <w:jc w:val="center"/>
      </w:pPr>
      <w:bookmarkStart w:id="0" w:name="_GoBack"/>
      <w:bookmarkEnd w:id="0"/>
      <w:r>
        <w:rPr>
          <w:rFonts w:ascii="PMingLiu" w:eastAsia="PMingLiu" w:hAnsi="PMingLiu" w:cs="PMingLiu"/>
          <w:b/>
          <w:sz w:val="20"/>
          <w:szCs w:val="20"/>
        </w:rPr>
        <w:t>2015</w:t>
      </w:r>
      <w:r>
        <w:rPr>
          <w:rFonts w:ascii="PMingLiu" w:eastAsia="PMingLiu" w:hAnsi="PMingLiu" w:cs="PMingLiu"/>
          <w:b/>
          <w:sz w:val="20"/>
          <w:szCs w:val="20"/>
        </w:rPr>
        <w:t>社區與社會企業學術論文徵稿格式說明</w:t>
      </w:r>
    </w:p>
    <w:p w:rsidR="00566F7D" w:rsidRDefault="006C5236">
      <w:pPr>
        <w:spacing w:line="480" w:lineRule="auto"/>
        <w:jc w:val="center"/>
      </w:pPr>
      <w:r>
        <w:rPr>
          <w:rFonts w:ascii="PMingLiu" w:eastAsia="PMingLiu" w:hAnsi="PMingLiu" w:cs="PMingLiu"/>
          <w:sz w:val="20"/>
          <w:szCs w:val="20"/>
        </w:rPr>
        <w:t xml:space="preserve"> </w:t>
      </w:r>
    </w:p>
    <w:p w:rsidR="00566F7D" w:rsidRDefault="006C5236">
      <w:pPr>
        <w:spacing w:line="480" w:lineRule="auto"/>
        <w:jc w:val="center"/>
      </w:pPr>
      <w:r>
        <w:rPr>
          <w:rFonts w:ascii="PMingLiu" w:eastAsia="PMingLiu" w:hAnsi="PMingLiu" w:cs="PMingLiu"/>
          <w:b/>
          <w:sz w:val="20"/>
          <w:szCs w:val="20"/>
        </w:rPr>
        <w:t>壹、稿件</w:t>
      </w:r>
    </w:p>
    <w:p w:rsidR="00566F7D" w:rsidRDefault="006C5236">
      <w:pPr>
        <w:spacing w:line="480" w:lineRule="auto"/>
        <w:ind w:left="480"/>
      </w:pPr>
      <w:r>
        <w:rPr>
          <w:rFonts w:ascii="PMingLiu" w:eastAsia="PMingLiu" w:hAnsi="PMingLiu" w:cs="PMingLiu"/>
          <w:sz w:val="20"/>
          <w:szCs w:val="20"/>
        </w:rPr>
        <w:t>一、來稿請以中文或英文由左而右橫式撰寫，以二十至二十五頁為原則。稿件按下列順序書寫：中英文標題、中英文作者、中英文服務單位、中英文摘要</w:t>
      </w:r>
      <w:r>
        <w:rPr>
          <w:rFonts w:ascii="PMingLiu" w:eastAsia="PMingLiu" w:hAnsi="PMingLiu" w:cs="PMingLiu"/>
          <w:sz w:val="20"/>
          <w:szCs w:val="20"/>
        </w:rPr>
        <w:t xml:space="preserve"> (</w:t>
      </w:r>
      <w:r>
        <w:rPr>
          <w:rFonts w:ascii="PMingLiu" w:eastAsia="PMingLiu" w:hAnsi="PMingLiu" w:cs="PMingLiu"/>
          <w:sz w:val="20"/>
          <w:szCs w:val="20"/>
        </w:rPr>
        <w:t>中英文</w:t>
      </w:r>
      <w:proofErr w:type="gramStart"/>
      <w:r>
        <w:rPr>
          <w:rFonts w:ascii="PMingLiu" w:eastAsia="PMingLiu" w:hAnsi="PMingLiu" w:cs="PMingLiu"/>
          <w:sz w:val="20"/>
          <w:szCs w:val="20"/>
        </w:rPr>
        <w:t>摘要均以</w:t>
      </w:r>
      <w:proofErr w:type="gramEnd"/>
      <w:r>
        <w:rPr>
          <w:rFonts w:ascii="PMingLiu" w:eastAsia="PMingLiu" w:hAnsi="PMingLiu" w:cs="PMingLiu"/>
          <w:sz w:val="20"/>
          <w:szCs w:val="20"/>
        </w:rPr>
        <w:t>500</w:t>
      </w:r>
      <w:r>
        <w:rPr>
          <w:rFonts w:ascii="PMingLiu" w:eastAsia="PMingLiu" w:hAnsi="PMingLiu" w:cs="PMingLiu"/>
          <w:sz w:val="20"/>
          <w:szCs w:val="20"/>
        </w:rPr>
        <w:t>字為限</w:t>
      </w:r>
      <w:r>
        <w:rPr>
          <w:rFonts w:ascii="PMingLiu" w:eastAsia="PMingLiu" w:hAnsi="PMingLiu" w:cs="PMingLiu"/>
          <w:sz w:val="20"/>
          <w:szCs w:val="20"/>
        </w:rPr>
        <w:t>)</w:t>
      </w:r>
      <w:r>
        <w:rPr>
          <w:rFonts w:ascii="PMingLiu" w:eastAsia="PMingLiu" w:hAnsi="PMingLiu" w:cs="PMingLiu"/>
          <w:sz w:val="20"/>
          <w:szCs w:val="20"/>
        </w:rPr>
        <w:t>、中英文關鍵詞</w:t>
      </w:r>
      <w:r>
        <w:rPr>
          <w:rFonts w:ascii="PMingLiu" w:eastAsia="PMingLiu" w:hAnsi="PMingLiu" w:cs="PMingLiu"/>
          <w:sz w:val="20"/>
          <w:szCs w:val="20"/>
        </w:rPr>
        <w:t xml:space="preserve"> (</w:t>
      </w:r>
      <w:r>
        <w:rPr>
          <w:rFonts w:ascii="PMingLiu" w:eastAsia="PMingLiu" w:hAnsi="PMingLiu" w:cs="PMingLiu"/>
          <w:sz w:val="20"/>
          <w:szCs w:val="20"/>
        </w:rPr>
        <w:t>以</w:t>
      </w:r>
      <w:r>
        <w:rPr>
          <w:rFonts w:ascii="PMingLiu" w:eastAsia="PMingLiu" w:hAnsi="PMingLiu" w:cs="PMingLiu"/>
          <w:sz w:val="20"/>
          <w:szCs w:val="20"/>
        </w:rPr>
        <w:t>5</w:t>
      </w:r>
      <w:r>
        <w:rPr>
          <w:rFonts w:ascii="PMingLiu" w:eastAsia="PMingLiu" w:hAnsi="PMingLiu" w:cs="PMingLiu"/>
          <w:sz w:val="20"/>
          <w:szCs w:val="20"/>
        </w:rPr>
        <w:t>個為限</w:t>
      </w:r>
      <w:r>
        <w:rPr>
          <w:rFonts w:ascii="PMingLiu" w:eastAsia="PMingLiu" w:hAnsi="PMingLiu" w:cs="PMingLiu"/>
          <w:sz w:val="20"/>
          <w:szCs w:val="20"/>
        </w:rPr>
        <w:t>)</w:t>
      </w:r>
      <w:r>
        <w:rPr>
          <w:rFonts w:ascii="PMingLiu" w:eastAsia="PMingLiu" w:hAnsi="PMingLiu" w:cs="PMingLiu"/>
          <w:sz w:val="20"/>
          <w:szCs w:val="20"/>
        </w:rPr>
        <w:t>、本文、</w:t>
      </w:r>
      <w:proofErr w:type="gramStart"/>
      <w:r>
        <w:rPr>
          <w:rFonts w:ascii="PMingLiu" w:eastAsia="PMingLiu" w:hAnsi="PMingLiu" w:cs="PMingLiu"/>
          <w:sz w:val="20"/>
          <w:szCs w:val="20"/>
        </w:rPr>
        <w:t>註</w:t>
      </w:r>
      <w:proofErr w:type="gramEnd"/>
      <w:r>
        <w:rPr>
          <w:rFonts w:ascii="PMingLiu" w:eastAsia="PMingLiu" w:hAnsi="PMingLiu" w:cs="PMingLiu"/>
          <w:sz w:val="20"/>
          <w:szCs w:val="20"/>
        </w:rPr>
        <w:t>釋、參考文獻及附錄。</w:t>
      </w:r>
    </w:p>
    <w:p w:rsidR="00566F7D" w:rsidRDefault="006C5236">
      <w:pPr>
        <w:spacing w:line="480" w:lineRule="auto"/>
        <w:ind w:left="480"/>
      </w:pPr>
      <w:r>
        <w:rPr>
          <w:rFonts w:ascii="PMingLiu" w:eastAsia="PMingLiu" w:hAnsi="PMingLiu" w:cs="PMingLiu"/>
          <w:sz w:val="20"/>
          <w:szCs w:val="20"/>
        </w:rPr>
        <w:t>二、</w:t>
      </w:r>
      <w:r>
        <w:rPr>
          <w:rFonts w:ascii="PMingLiu" w:eastAsia="PMingLiu" w:hAnsi="PMingLiu" w:cs="PMingLiu"/>
          <w:b/>
          <w:sz w:val="20"/>
          <w:szCs w:val="20"/>
        </w:rPr>
        <w:t>題目字級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16</w:t>
      </w:r>
      <w:r>
        <w:rPr>
          <w:rFonts w:ascii="PMingLiu" w:eastAsia="PMingLiu" w:hAnsi="PMingLiu" w:cs="PMingLiu"/>
          <w:b/>
          <w:sz w:val="20"/>
          <w:szCs w:val="20"/>
        </w:rPr>
        <w:t>，本文字級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>
        <w:rPr>
          <w:rFonts w:ascii="PMingLiu" w:eastAsia="PMingLiu" w:hAnsi="PMingLiu" w:cs="PMingLiu"/>
          <w:b/>
          <w:sz w:val="20"/>
          <w:szCs w:val="20"/>
        </w:rPr>
        <w:t>，附註字級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>
        <w:rPr>
          <w:rFonts w:ascii="PMingLiu" w:eastAsia="PMingLiu" w:hAnsi="PMingLiu" w:cs="PMingLiu"/>
          <w:sz w:val="20"/>
          <w:szCs w:val="20"/>
        </w:rPr>
        <w:t>，中文字形請使用</w:t>
      </w:r>
      <w:r>
        <w:rPr>
          <w:rFonts w:ascii="PMingLiu" w:eastAsia="PMingLiu" w:hAnsi="PMingLiu" w:cs="PMingLiu"/>
          <w:b/>
          <w:sz w:val="20"/>
          <w:szCs w:val="20"/>
        </w:rPr>
        <w:t>新細明體</w:t>
      </w:r>
      <w:r>
        <w:rPr>
          <w:rFonts w:ascii="PMingLiu" w:eastAsia="PMingLiu" w:hAnsi="PMingLiu" w:cs="PMingLiu"/>
          <w:sz w:val="20"/>
          <w:szCs w:val="20"/>
        </w:rPr>
        <w:t>，英文字形請使用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Times New Roman</w:t>
      </w:r>
      <w:r>
        <w:rPr>
          <w:rFonts w:ascii="PMingLiu" w:eastAsia="PMingLiu" w:hAnsi="PMingLiu" w:cs="PMingLiu"/>
          <w:sz w:val="20"/>
          <w:szCs w:val="20"/>
        </w:rPr>
        <w:t>，行距為單行間距，與前段距離</w:t>
      </w:r>
      <w:r>
        <w:rPr>
          <w:rFonts w:ascii="PMingLiu" w:eastAsia="PMingLiu" w:hAnsi="PMingLiu" w:cs="PMingLiu"/>
          <w:sz w:val="20"/>
          <w:szCs w:val="20"/>
        </w:rPr>
        <w:t>0.5</w:t>
      </w:r>
      <w:r>
        <w:rPr>
          <w:rFonts w:ascii="PMingLiu" w:eastAsia="PMingLiu" w:hAnsi="PMingLiu" w:cs="PMingLiu"/>
          <w:sz w:val="20"/>
          <w:szCs w:val="20"/>
        </w:rPr>
        <w:t>列，文章之左右</w:t>
      </w:r>
      <w:proofErr w:type="gramStart"/>
      <w:r>
        <w:rPr>
          <w:rFonts w:ascii="PMingLiu" w:eastAsia="PMingLiu" w:hAnsi="PMingLiu" w:cs="PMingLiu"/>
          <w:sz w:val="20"/>
          <w:szCs w:val="20"/>
        </w:rPr>
        <w:t>緣分別留</w:t>
      </w:r>
      <w:r>
        <w:rPr>
          <w:rFonts w:ascii="PMingLiu" w:eastAsia="PMingLiu" w:hAnsi="PMingLiu" w:cs="PMingLiu"/>
          <w:sz w:val="20"/>
          <w:szCs w:val="20"/>
        </w:rPr>
        <w:t>2.5</w:t>
      </w:r>
      <w:r>
        <w:rPr>
          <w:rFonts w:ascii="PMingLiu" w:eastAsia="PMingLiu" w:hAnsi="PMingLiu" w:cs="PMingLiu"/>
          <w:sz w:val="20"/>
          <w:szCs w:val="20"/>
        </w:rPr>
        <w:t>公分</w:t>
      </w:r>
      <w:proofErr w:type="gramEnd"/>
      <w:r>
        <w:rPr>
          <w:rFonts w:ascii="PMingLiu" w:eastAsia="PMingLiu" w:hAnsi="PMingLiu" w:cs="PMingLiu"/>
          <w:sz w:val="20"/>
          <w:szCs w:val="20"/>
        </w:rPr>
        <w:t>空間，上下留</w:t>
      </w:r>
      <w:r>
        <w:rPr>
          <w:rFonts w:ascii="PMingLiu" w:eastAsia="PMingLiu" w:hAnsi="PMingLiu" w:cs="PMingLiu"/>
          <w:sz w:val="20"/>
          <w:szCs w:val="20"/>
        </w:rPr>
        <w:t>2.5</w:t>
      </w:r>
      <w:r>
        <w:rPr>
          <w:rFonts w:ascii="PMingLiu" w:eastAsia="PMingLiu" w:hAnsi="PMingLiu" w:cs="PMingLiu"/>
          <w:sz w:val="20"/>
          <w:szCs w:val="20"/>
        </w:rPr>
        <w:t>公分之空間。</w:t>
      </w:r>
    </w:p>
    <w:p w:rsidR="00566F7D" w:rsidRDefault="006C5236">
      <w:pPr>
        <w:spacing w:line="480" w:lineRule="auto"/>
        <w:ind w:left="480"/>
      </w:pPr>
      <w:r>
        <w:rPr>
          <w:rFonts w:ascii="PMingLiu" w:eastAsia="PMingLiu" w:hAnsi="PMingLiu" w:cs="PMingLiu"/>
          <w:sz w:val="20"/>
          <w:szCs w:val="20"/>
        </w:rPr>
        <w:t>三、中英文論文題目：若有副題，正、</w:t>
      </w:r>
      <w:proofErr w:type="gramStart"/>
      <w:r>
        <w:rPr>
          <w:rFonts w:ascii="PMingLiu" w:eastAsia="PMingLiu" w:hAnsi="PMingLiu" w:cs="PMingLiu"/>
          <w:sz w:val="20"/>
          <w:szCs w:val="20"/>
        </w:rPr>
        <w:t>副題間請以</w:t>
      </w:r>
      <w:proofErr w:type="gramEnd"/>
      <w:r>
        <w:rPr>
          <w:rFonts w:ascii="PMingLiu" w:eastAsia="PMingLiu" w:hAnsi="PMingLiu" w:cs="PMingLiu"/>
          <w:sz w:val="20"/>
          <w:szCs w:val="20"/>
        </w:rPr>
        <w:t>「－」符號區隔。</w:t>
      </w:r>
    </w:p>
    <w:p w:rsidR="00566F7D" w:rsidRDefault="00566F7D">
      <w:pPr>
        <w:spacing w:line="480" w:lineRule="auto"/>
        <w:ind w:left="720"/>
        <w:jc w:val="center"/>
      </w:pPr>
    </w:p>
    <w:p w:rsidR="00566F7D" w:rsidRDefault="006C5236">
      <w:pPr>
        <w:spacing w:line="480" w:lineRule="auto"/>
        <w:ind w:left="720"/>
        <w:jc w:val="center"/>
      </w:pPr>
      <w:r>
        <w:rPr>
          <w:rFonts w:ascii="PMingLiu" w:eastAsia="PMingLiu" w:hAnsi="PMingLiu" w:cs="PMingLiu"/>
          <w:b/>
          <w:sz w:val="20"/>
          <w:szCs w:val="20"/>
        </w:rPr>
        <w:t>貳、論文內容格式</w:t>
      </w:r>
    </w:p>
    <w:p w:rsidR="00566F7D" w:rsidRDefault="006C5236">
      <w:pPr>
        <w:spacing w:line="480" w:lineRule="auto"/>
      </w:pPr>
      <w:r>
        <w:rPr>
          <w:rFonts w:ascii="PMingLiu" w:eastAsia="PMingLiu" w:hAnsi="PMingLiu" w:cs="PMingLiu"/>
          <w:b/>
          <w:sz w:val="20"/>
          <w:szCs w:val="20"/>
        </w:rPr>
        <w:t>一、中文稿</w:t>
      </w:r>
    </w:p>
    <w:p w:rsidR="00566F7D" w:rsidRDefault="006C5236">
      <w:pPr>
        <w:spacing w:line="480" w:lineRule="auto"/>
        <w:jc w:val="center"/>
      </w:pPr>
      <w:r>
        <w:rPr>
          <w:rFonts w:ascii="PMingLiu" w:eastAsia="PMingLiu" w:hAnsi="PMingLiu" w:cs="PMingLiu"/>
          <w:b/>
          <w:sz w:val="20"/>
          <w:szCs w:val="20"/>
        </w:rPr>
        <w:t xml:space="preserve">貳、標楷體　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16</w:t>
      </w:r>
      <w:r>
        <w:rPr>
          <w:rFonts w:ascii="PMingLiu" w:eastAsia="PMingLiu" w:hAnsi="PMingLiu" w:cs="PMingLiu"/>
          <w:b/>
          <w:sz w:val="20"/>
          <w:szCs w:val="20"/>
        </w:rPr>
        <w:t>字級　粗體　置中</w:t>
      </w:r>
    </w:p>
    <w:p w:rsidR="00566F7D" w:rsidRDefault="006C5236">
      <w:pPr>
        <w:spacing w:line="480" w:lineRule="auto"/>
      </w:pPr>
      <w:r>
        <w:rPr>
          <w:rFonts w:ascii="PMingLiu" w:eastAsia="PMingLiu" w:hAnsi="PMingLiu" w:cs="PMingLiu"/>
          <w:b/>
          <w:sz w:val="20"/>
          <w:szCs w:val="20"/>
        </w:rPr>
        <w:t xml:space="preserve">一、新細明體　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14</w:t>
      </w:r>
      <w:r>
        <w:rPr>
          <w:rFonts w:ascii="PMingLiu" w:eastAsia="PMingLiu" w:hAnsi="PMingLiu" w:cs="PMingLiu"/>
          <w:b/>
          <w:sz w:val="20"/>
          <w:szCs w:val="20"/>
        </w:rPr>
        <w:t>字級　粗體　置於最左方</w:t>
      </w:r>
    </w:p>
    <w:p w:rsidR="00566F7D" w:rsidRDefault="006C5236">
      <w:pPr>
        <w:spacing w:line="480" w:lineRule="auto"/>
      </w:pPr>
      <w:r>
        <w:rPr>
          <w:rFonts w:ascii="PMingLiu" w:eastAsia="PMingLiu" w:hAnsi="PMingLiu" w:cs="PMingLiu"/>
          <w:b/>
          <w:sz w:val="20"/>
          <w:szCs w:val="20"/>
        </w:rPr>
        <w:t>(</w:t>
      </w:r>
      <w:proofErr w:type="gramStart"/>
      <w:r>
        <w:rPr>
          <w:rFonts w:ascii="PMingLiu" w:eastAsia="PMingLiu" w:hAnsi="PMingLiu" w:cs="PMingLiu"/>
          <w:b/>
          <w:sz w:val="20"/>
          <w:szCs w:val="20"/>
        </w:rPr>
        <w:t>一</w:t>
      </w:r>
      <w:proofErr w:type="gramEnd"/>
      <w:r>
        <w:rPr>
          <w:rFonts w:ascii="PMingLiu" w:eastAsia="PMingLiu" w:hAnsi="PMingLiu" w:cs="PMingLiu"/>
          <w:b/>
          <w:sz w:val="20"/>
          <w:szCs w:val="20"/>
        </w:rPr>
        <w:t xml:space="preserve">) </w:t>
      </w:r>
      <w:r>
        <w:rPr>
          <w:rFonts w:ascii="PMingLiu" w:eastAsia="PMingLiu" w:hAnsi="PMingLiu" w:cs="PMingLiu"/>
          <w:b/>
          <w:sz w:val="20"/>
          <w:szCs w:val="20"/>
        </w:rPr>
        <w:t xml:space="preserve">新細明體　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>
        <w:rPr>
          <w:rFonts w:ascii="PMingLiu" w:eastAsia="PMingLiu" w:hAnsi="PMingLiu" w:cs="PMingLiu"/>
          <w:b/>
          <w:sz w:val="20"/>
          <w:szCs w:val="20"/>
        </w:rPr>
        <w:t>字級　粗體　半形向右二格處開始</w:t>
      </w:r>
    </w:p>
    <w:p w:rsidR="00566F7D" w:rsidRDefault="006C5236">
      <w:pPr>
        <w:spacing w:line="480" w:lineRule="auto"/>
      </w:pPr>
      <w:r>
        <w:rPr>
          <w:rFonts w:ascii="PMingLiu" w:eastAsia="PMingLiu" w:hAnsi="PMingLiu" w:cs="PMingLiu"/>
          <w:sz w:val="20"/>
          <w:szCs w:val="20"/>
        </w:rPr>
        <w:t xml:space="preserve">　</w:t>
      </w:r>
      <w:r>
        <w:rPr>
          <w:rFonts w:ascii="PMingLiu" w:eastAsia="PMingLiu" w:hAnsi="PMingLiu" w:cs="PMingLiu"/>
          <w:sz w:val="20"/>
          <w:szCs w:val="20"/>
        </w:rPr>
        <w:t xml:space="preserve">1. </w:t>
      </w:r>
      <w:r>
        <w:rPr>
          <w:rFonts w:ascii="PMingLiu" w:eastAsia="PMingLiu" w:hAnsi="PMingLiu" w:cs="PMingLiu"/>
          <w:sz w:val="20"/>
          <w:szCs w:val="20"/>
        </w:rPr>
        <w:t xml:space="preserve">新細明體　</w:t>
      </w:r>
      <w:r>
        <w:rPr>
          <w:rFonts w:ascii="Times New Roman" w:eastAsia="Times New Roman" w:hAnsi="Times New Roman" w:cs="Times New Roman"/>
          <w:sz w:val="20"/>
          <w:szCs w:val="20"/>
        </w:rPr>
        <w:t>12</w:t>
      </w:r>
      <w:r>
        <w:rPr>
          <w:rFonts w:ascii="PMingLiu" w:eastAsia="PMingLiu" w:hAnsi="PMingLiu" w:cs="PMingLiu"/>
          <w:sz w:val="20"/>
          <w:szCs w:val="20"/>
        </w:rPr>
        <w:t>字級　標準　半形向右四格處開始</w:t>
      </w:r>
    </w:p>
    <w:p w:rsidR="00566F7D" w:rsidRDefault="006C5236">
      <w:pPr>
        <w:spacing w:line="480" w:lineRule="auto"/>
      </w:pPr>
      <w:r>
        <w:rPr>
          <w:rFonts w:ascii="PMingLiu" w:eastAsia="PMingLiu" w:hAnsi="PMingLiu" w:cs="PMingLiu"/>
          <w:sz w:val="20"/>
          <w:szCs w:val="20"/>
        </w:rPr>
        <w:t xml:space="preserve">　　　</w:t>
      </w:r>
      <w:r>
        <w:rPr>
          <w:rFonts w:ascii="PMingLiu" w:eastAsia="PMingLiu" w:hAnsi="PMingLiu" w:cs="PMingLiu"/>
          <w:sz w:val="20"/>
          <w:szCs w:val="20"/>
        </w:rPr>
        <w:t xml:space="preserve">(1) </w:t>
      </w:r>
      <w:r>
        <w:rPr>
          <w:rFonts w:ascii="PMingLiu" w:eastAsia="PMingLiu" w:hAnsi="PMingLiu" w:cs="PMingLiu"/>
          <w:sz w:val="20"/>
          <w:szCs w:val="20"/>
        </w:rPr>
        <w:t xml:space="preserve">新細明體　</w:t>
      </w:r>
      <w:r>
        <w:rPr>
          <w:rFonts w:ascii="Times New Roman" w:eastAsia="Times New Roman" w:hAnsi="Times New Roman" w:cs="Times New Roman"/>
          <w:sz w:val="20"/>
          <w:szCs w:val="20"/>
        </w:rPr>
        <w:t>12</w:t>
      </w:r>
      <w:r>
        <w:rPr>
          <w:rFonts w:ascii="PMingLiu" w:eastAsia="PMingLiu" w:hAnsi="PMingLiu" w:cs="PMingLiu"/>
          <w:sz w:val="20"/>
          <w:szCs w:val="20"/>
        </w:rPr>
        <w:t>字級　標準　半形向右六格處開始</w:t>
      </w:r>
    </w:p>
    <w:p w:rsidR="00566F7D" w:rsidRDefault="006C5236">
      <w:pPr>
        <w:spacing w:line="480" w:lineRule="auto"/>
      </w:pPr>
      <w:r>
        <w:rPr>
          <w:rFonts w:ascii="PMingLiu" w:eastAsia="PMingLiu" w:hAnsi="PMingLiu" w:cs="PMingLiu"/>
          <w:b/>
          <w:sz w:val="20"/>
          <w:szCs w:val="20"/>
        </w:rPr>
        <w:t>二、英文稿</w:t>
      </w:r>
    </w:p>
    <w:p w:rsidR="00566F7D" w:rsidRDefault="006C5236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Times New Roman</w:t>
      </w:r>
      <w:r>
        <w:rPr>
          <w:rFonts w:ascii="PMingLiu" w:eastAsia="PMingLiu" w:hAnsi="PMingLiu" w:cs="PMingLiu"/>
          <w:sz w:val="20"/>
          <w:szCs w:val="20"/>
        </w:rPr>
        <w:t xml:space="preserve">　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16</w:t>
      </w:r>
      <w:r>
        <w:rPr>
          <w:rFonts w:ascii="PMingLiu" w:eastAsia="PMingLiu" w:hAnsi="PMingLiu" w:cs="PMingLiu"/>
          <w:b/>
          <w:sz w:val="20"/>
          <w:szCs w:val="20"/>
        </w:rPr>
        <w:t>字級　粗體　置中</w:t>
      </w:r>
    </w:p>
    <w:p w:rsidR="00566F7D" w:rsidRDefault="006C5236">
      <w:pPr>
        <w:spacing w:line="48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3.1 Times New Roman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　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14</w:t>
      </w:r>
      <w:r>
        <w:rPr>
          <w:rFonts w:ascii="PMingLiu" w:eastAsia="PMingLiu" w:hAnsi="PMingLiu" w:cs="PMingLiu"/>
          <w:b/>
          <w:sz w:val="20"/>
          <w:szCs w:val="20"/>
        </w:rPr>
        <w:t>字級　粗體　置於最左方</w:t>
      </w:r>
    </w:p>
    <w:p w:rsidR="00566F7D" w:rsidRDefault="006C5236">
      <w:pPr>
        <w:spacing w:line="48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3.1.1 Times New 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oman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　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>
        <w:rPr>
          <w:rFonts w:ascii="PMingLiu" w:eastAsia="PMingLiu" w:hAnsi="PMingLiu" w:cs="PMingLiu"/>
          <w:b/>
          <w:sz w:val="20"/>
          <w:szCs w:val="20"/>
        </w:rPr>
        <w:t>字級　粗體　半形向右二格處開始</w:t>
      </w:r>
    </w:p>
    <w:p w:rsidR="00566F7D" w:rsidRDefault="00566F7D">
      <w:pPr>
        <w:spacing w:line="480" w:lineRule="auto"/>
      </w:pPr>
    </w:p>
    <w:p w:rsidR="00566F7D" w:rsidRDefault="006C5236">
      <w:pPr>
        <w:spacing w:line="480" w:lineRule="auto"/>
        <w:jc w:val="center"/>
      </w:pPr>
      <w:r>
        <w:rPr>
          <w:rFonts w:ascii="PMingLiu" w:eastAsia="PMingLiu" w:hAnsi="PMingLiu" w:cs="PMingLiu"/>
          <w:b/>
          <w:sz w:val="20"/>
          <w:szCs w:val="20"/>
        </w:rPr>
        <w:t>參、文獻引用</w:t>
      </w:r>
    </w:p>
    <w:p w:rsidR="00566F7D" w:rsidRDefault="006C5236">
      <w:r>
        <w:rPr>
          <w:rFonts w:ascii="PMingLiu" w:eastAsia="PMingLiu" w:hAnsi="PMingLiu" w:cs="PMingLiu"/>
          <w:sz w:val="20"/>
          <w:szCs w:val="20"/>
        </w:rPr>
        <w:t xml:space="preserve">1. </w:t>
      </w:r>
      <w:r>
        <w:rPr>
          <w:rFonts w:ascii="PMingLiu" w:eastAsia="PMingLiu" w:hAnsi="PMingLiu" w:cs="PMingLiu"/>
          <w:sz w:val="20"/>
          <w:szCs w:val="20"/>
        </w:rPr>
        <w:t>任克敏、盧逸先（</w:t>
      </w:r>
      <w:r>
        <w:rPr>
          <w:rFonts w:ascii="PMingLiu" w:eastAsia="PMingLiu" w:hAnsi="PMingLiu" w:cs="PMingLiu"/>
          <w:sz w:val="20"/>
          <w:szCs w:val="20"/>
        </w:rPr>
        <w:t>1995</w:t>
      </w:r>
      <w:r>
        <w:rPr>
          <w:rFonts w:ascii="PMingLiu" w:eastAsia="PMingLiu" w:hAnsi="PMingLiu" w:cs="PMingLiu"/>
          <w:sz w:val="20"/>
          <w:szCs w:val="20"/>
        </w:rPr>
        <w:t>），</w:t>
      </w:r>
      <w:r>
        <w:rPr>
          <w:rFonts w:ascii="PMingLiu" w:eastAsia="PMingLiu" w:hAnsi="PMingLiu" w:cs="PMingLiu"/>
          <w:sz w:val="20"/>
          <w:szCs w:val="20"/>
        </w:rPr>
        <w:t>“</w:t>
      </w:r>
      <w:r>
        <w:rPr>
          <w:rFonts w:ascii="PMingLiu" w:eastAsia="PMingLiu" w:hAnsi="PMingLiu" w:cs="PMingLiu"/>
          <w:sz w:val="20"/>
          <w:szCs w:val="20"/>
        </w:rPr>
        <w:t>歐體科技政策的探討</w:t>
      </w:r>
      <w:r>
        <w:rPr>
          <w:rFonts w:ascii="PMingLiu" w:eastAsia="PMingLiu" w:hAnsi="PMingLiu" w:cs="PMingLiu"/>
          <w:sz w:val="20"/>
          <w:szCs w:val="20"/>
        </w:rPr>
        <w:t>-</w:t>
      </w:r>
      <w:r>
        <w:rPr>
          <w:rFonts w:ascii="PMingLiu" w:eastAsia="PMingLiu" w:hAnsi="PMingLiu" w:cs="PMingLiu"/>
          <w:sz w:val="20"/>
          <w:szCs w:val="20"/>
        </w:rPr>
        <w:t>兼論與我國科技產品之貿易</w:t>
      </w:r>
      <w:r>
        <w:rPr>
          <w:rFonts w:ascii="PMingLiu" w:eastAsia="PMingLiu" w:hAnsi="PMingLiu" w:cs="PMingLiu"/>
          <w:sz w:val="20"/>
          <w:szCs w:val="20"/>
        </w:rPr>
        <w:t>”</w:t>
      </w:r>
      <w:r>
        <w:rPr>
          <w:rFonts w:ascii="PMingLiu" w:eastAsia="PMingLiu" w:hAnsi="PMingLiu" w:cs="PMingLiu"/>
          <w:sz w:val="20"/>
          <w:szCs w:val="20"/>
        </w:rPr>
        <w:t>，台灣銀行季刊，</w:t>
      </w:r>
      <w:r>
        <w:rPr>
          <w:rFonts w:ascii="PMingLiu" w:eastAsia="PMingLiu" w:hAnsi="PMingLiu" w:cs="PMingLiu"/>
          <w:sz w:val="20"/>
          <w:szCs w:val="20"/>
        </w:rPr>
        <w:t>46 (1)</w:t>
      </w:r>
      <w:r>
        <w:rPr>
          <w:rFonts w:ascii="PMingLiu" w:eastAsia="PMingLiu" w:hAnsi="PMingLiu" w:cs="PMingLiu"/>
          <w:sz w:val="20"/>
          <w:szCs w:val="20"/>
        </w:rPr>
        <w:t>，頁</w:t>
      </w:r>
      <w:r>
        <w:rPr>
          <w:rFonts w:ascii="PMingLiu" w:eastAsia="PMingLiu" w:hAnsi="PMingLiu" w:cs="PMingLiu"/>
          <w:sz w:val="20"/>
          <w:szCs w:val="20"/>
        </w:rPr>
        <w:t>28-62</w:t>
      </w:r>
      <w:r>
        <w:rPr>
          <w:rFonts w:ascii="PMingLiu" w:eastAsia="PMingLiu" w:hAnsi="PMingLiu" w:cs="PMingLiu"/>
          <w:sz w:val="20"/>
          <w:szCs w:val="20"/>
        </w:rPr>
        <w:t>。</w:t>
      </w:r>
      <w:r>
        <w:rPr>
          <w:rFonts w:ascii="PMingLiu" w:eastAsia="PMingLiu" w:hAnsi="PMingLiu" w:cs="PMingLiu"/>
          <w:sz w:val="20"/>
          <w:szCs w:val="20"/>
        </w:rPr>
        <w:t xml:space="preserve"> </w:t>
      </w:r>
    </w:p>
    <w:p w:rsidR="00566F7D" w:rsidRDefault="006C5236">
      <w:r>
        <w:rPr>
          <w:rFonts w:ascii="PMingLiu" w:eastAsia="PMingLiu" w:hAnsi="PMingLiu" w:cs="PMingLiu"/>
          <w:sz w:val="20"/>
          <w:szCs w:val="20"/>
        </w:rPr>
        <w:t xml:space="preserve">2. </w:t>
      </w:r>
      <w:r>
        <w:rPr>
          <w:rFonts w:ascii="PMingLiu" w:eastAsia="PMingLiu" w:hAnsi="PMingLiu" w:cs="PMingLiu"/>
          <w:sz w:val="20"/>
          <w:szCs w:val="20"/>
        </w:rPr>
        <w:t>國科會（</w:t>
      </w:r>
      <w:r>
        <w:rPr>
          <w:rFonts w:ascii="PMingLiu" w:eastAsia="PMingLiu" w:hAnsi="PMingLiu" w:cs="PMingLiu"/>
          <w:sz w:val="20"/>
          <w:szCs w:val="20"/>
        </w:rPr>
        <w:t>1998</w:t>
      </w:r>
      <w:r>
        <w:rPr>
          <w:rFonts w:ascii="PMingLiu" w:eastAsia="PMingLiu" w:hAnsi="PMingLiu" w:cs="PMingLiu"/>
          <w:sz w:val="20"/>
          <w:szCs w:val="20"/>
        </w:rPr>
        <w:t>），</w:t>
      </w:r>
      <w:r>
        <w:rPr>
          <w:rFonts w:ascii="PMingLiu" w:eastAsia="PMingLiu" w:hAnsi="PMingLiu" w:cs="PMingLiu"/>
          <w:sz w:val="20"/>
          <w:szCs w:val="20"/>
        </w:rPr>
        <w:t>“</w:t>
      </w:r>
      <w:r>
        <w:rPr>
          <w:rFonts w:ascii="PMingLiu" w:eastAsia="PMingLiu" w:hAnsi="PMingLiu" w:cs="PMingLiu"/>
          <w:sz w:val="20"/>
          <w:szCs w:val="20"/>
        </w:rPr>
        <w:t>中華民國科學技術年鑑：民國八十五年</w:t>
      </w:r>
      <w:proofErr w:type="gramStart"/>
      <w:r>
        <w:rPr>
          <w:rFonts w:ascii="PMingLiu" w:eastAsia="PMingLiu" w:hAnsi="PMingLiu" w:cs="PMingLiu"/>
          <w:sz w:val="20"/>
          <w:szCs w:val="20"/>
        </w:rPr>
        <w:t>”</w:t>
      </w:r>
      <w:proofErr w:type="gramEnd"/>
      <w:r>
        <w:rPr>
          <w:rFonts w:ascii="PMingLiu" w:eastAsia="PMingLiu" w:hAnsi="PMingLiu" w:cs="PMingLiu"/>
          <w:sz w:val="20"/>
          <w:szCs w:val="20"/>
        </w:rPr>
        <w:t>。</w:t>
      </w:r>
      <w:r>
        <w:rPr>
          <w:rFonts w:ascii="PMingLiu" w:eastAsia="PMingLiu" w:hAnsi="PMingLiu" w:cs="PMingLiu"/>
          <w:sz w:val="20"/>
          <w:szCs w:val="20"/>
        </w:rPr>
        <w:t xml:space="preserve"> </w:t>
      </w:r>
    </w:p>
    <w:p w:rsidR="00566F7D" w:rsidRDefault="006C5236">
      <w:r>
        <w:rPr>
          <w:rFonts w:ascii="PMingLiu" w:eastAsia="PMingLiu" w:hAnsi="PMingLiu" w:cs="PMingLiu"/>
          <w:sz w:val="20"/>
          <w:szCs w:val="20"/>
        </w:rPr>
        <w:t xml:space="preserve">3. </w:t>
      </w:r>
      <w:r>
        <w:rPr>
          <w:rFonts w:ascii="PMingLiu" w:eastAsia="PMingLiu" w:hAnsi="PMingLiu" w:cs="PMingLiu"/>
          <w:sz w:val="20"/>
          <w:szCs w:val="20"/>
        </w:rPr>
        <w:t>許士軍（</w:t>
      </w:r>
      <w:r>
        <w:rPr>
          <w:rFonts w:ascii="PMingLiu" w:eastAsia="PMingLiu" w:hAnsi="PMingLiu" w:cs="PMingLiu"/>
          <w:sz w:val="20"/>
          <w:szCs w:val="20"/>
        </w:rPr>
        <w:t>1997</w:t>
      </w:r>
      <w:r>
        <w:rPr>
          <w:rFonts w:ascii="PMingLiu" w:eastAsia="PMingLiu" w:hAnsi="PMingLiu" w:cs="PMingLiu"/>
          <w:sz w:val="20"/>
          <w:szCs w:val="20"/>
        </w:rPr>
        <w:t>），</w:t>
      </w:r>
      <w:r>
        <w:rPr>
          <w:rFonts w:ascii="PMingLiu" w:eastAsia="PMingLiu" w:hAnsi="PMingLiu" w:cs="PMingLiu"/>
          <w:sz w:val="20"/>
          <w:szCs w:val="20"/>
        </w:rPr>
        <w:t>“</w:t>
      </w:r>
      <w:r>
        <w:rPr>
          <w:rFonts w:ascii="PMingLiu" w:eastAsia="PMingLiu" w:hAnsi="PMingLiu" w:cs="PMingLiu"/>
          <w:sz w:val="20"/>
          <w:szCs w:val="20"/>
        </w:rPr>
        <w:t>研究發展將成為企業競爭利器</w:t>
      </w:r>
      <w:r>
        <w:rPr>
          <w:rFonts w:ascii="PMingLiu" w:eastAsia="PMingLiu" w:hAnsi="PMingLiu" w:cs="PMingLiu"/>
          <w:sz w:val="20"/>
          <w:szCs w:val="20"/>
        </w:rPr>
        <w:t>”</w:t>
      </w:r>
      <w:r>
        <w:rPr>
          <w:rFonts w:ascii="PMingLiu" w:eastAsia="PMingLiu" w:hAnsi="PMingLiu" w:cs="PMingLiu"/>
          <w:sz w:val="20"/>
          <w:szCs w:val="20"/>
        </w:rPr>
        <w:t>，能力雜誌，</w:t>
      </w:r>
      <w:r>
        <w:rPr>
          <w:rFonts w:ascii="PMingLiu" w:eastAsia="PMingLiu" w:hAnsi="PMingLiu" w:cs="PMingLiu"/>
          <w:sz w:val="20"/>
          <w:szCs w:val="20"/>
        </w:rPr>
        <w:t>500</w:t>
      </w:r>
      <w:r>
        <w:rPr>
          <w:rFonts w:ascii="PMingLiu" w:eastAsia="PMingLiu" w:hAnsi="PMingLiu" w:cs="PMingLiu"/>
          <w:sz w:val="20"/>
          <w:szCs w:val="20"/>
        </w:rPr>
        <w:t>，頁</w:t>
      </w:r>
      <w:r>
        <w:rPr>
          <w:rFonts w:ascii="PMingLiu" w:eastAsia="PMingLiu" w:hAnsi="PMingLiu" w:cs="PMingLiu"/>
          <w:sz w:val="20"/>
          <w:szCs w:val="20"/>
        </w:rPr>
        <w:t>22-25</w:t>
      </w:r>
      <w:r>
        <w:rPr>
          <w:rFonts w:ascii="PMingLiu" w:eastAsia="PMingLiu" w:hAnsi="PMingLiu" w:cs="PMingLiu"/>
          <w:sz w:val="20"/>
          <w:szCs w:val="20"/>
        </w:rPr>
        <w:t>。</w:t>
      </w:r>
    </w:p>
    <w:p w:rsidR="00566F7D" w:rsidRDefault="006C5236">
      <w:r>
        <w:rPr>
          <w:rFonts w:ascii="PMingLiu" w:eastAsia="PMingLiu" w:hAnsi="PMingLiu" w:cs="PMingLiu"/>
          <w:sz w:val="20"/>
          <w:szCs w:val="20"/>
        </w:rPr>
        <w:lastRenderedPageBreak/>
        <w:t xml:space="preserve">4. </w:t>
      </w:r>
      <w:proofErr w:type="spellStart"/>
      <w:r>
        <w:rPr>
          <w:rFonts w:ascii="PMingLiu" w:eastAsia="PMingLiu" w:hAnsi="PMingLiu" w:cs="PMingLiu"/>
          <w:sz w:val="20"/>
          <w:szCs w:val="20"/>
        </w:rPr>
        <w:t>Goto</w:t>
      </w:r>
      <w:proofErr w:type="spellEnd"/>
      <w:r>
        <w:rPr>
          <w:rFonts w:ascii="PMingLiu" w:eastAsia="PMingLiu" w:hAnsi="PMingLiu" w:cs="PMingLiu"/>
          <w:sz w:val="20"/>
          <w:szCs w:val="20"/>
        </w:rPr>
        <w:t>, A. and K. Suzuki (1989), “R&amp;D capital, rate of return on R&amp;</w:t>
      </w:r>
      <w:r>
        <w:rPr>
          <w:rFonts w:ascii="PMingLiu" w:eastAsia="PMingLiu" w:hAnsi="PMingLiu" w:cs="PMingLiu"/>
          <w:sz w:val="20"/>
          <w:szCs w:val="20"/>
        </w:rPr>
        <w:t xml:space="preserve">D investment and            spillover of R&amp;D in Japanese manufacturing industries,” Review of Economics and Statistics, 71 (4), pp. 555-564. </w:t>
      </w:r>
    </w:p>
    <w:p w:rsidR="00566F7D" w:rsidRDefault="006C5236">
      <w:r>
        <w:rPr>
          <w:rFonts w:ascii="PMingLiu" w:eastAsia="PMingLiu" w:hAnsi="PMingLiu" w:cs="PMingLiu"/>
          <w:sz w:val="20"/>
          <w:szCs w:val="20"/>
        </w:rPr>
        <w:t xml:space="preserve">5. OECD (1994), Science and Technology Policy: Review and Outlook, Paris. </w:t>
      </w:r>
    </w:p>
    <w:p w:rsidR="00566F7D" w:rsidRDefault="006C5236">
      <w:pPr>
        <w:rPr>
          <w:rFonts w:ascii="PMingLiu" w:hAnsi="PMingLiu" w:cs="PMingLiu" w:hint="eastAsia"/>
          <w:sz w:val="20"/>
          <w:szCs w:val="20"/>
        </w:rPr>
      </w:pPr>
      <w:r>
        <w:rPr>
          <w:rFonts w:ascii="PMingLiu" w:eastAsia="PMingLiu" w:hAnsi="PMingLiu" w:cs="PMingLiu"/>
          <w:sz w:val="20"/>
          <w:szCs w:val="20"/>
        </w:rPr>
        <w:t>6. Porter, M.E. (1990), “The Competitive Advantage of Nations,” Free Press, New York.</w:t>
      </w:r>
    </w:p>
    <w:p w:rsidR="0043337A" w:rsidRDefault="0043337A">
      <w:pPr>
        <w:rPr>
          <w:rFonts w:ascii="PMingLiu" w:hAnsi="PMingLiu" w:cs="PMingLiu" w:hint="eastAsia"/>
          <w:sz w:val="20"/>
          <w:szCs w:val="20"/>
        </w:rPr>
      </w:pPr>
    </w:p>
    <w:p w:rsidR="0043337A" w:rsidRPr="0043337A" w:rsidRDefault="0043337A">
      <w:pPr>
        <w:rPr>
          <w:rFonts w:hint="eastAsia"/>
        </w:rPr>
      </w:pPr>
      <w:r>
        <w:rPr>
          <w:rFonts w:ascii="PMingLiu" w:hAnsi="PMingLiu" w:cs="PMingLiu" w:hint="eastAsia"/>
          <w:sz w:val="20"/>
          <w:szCs w:val="20"/>
        </w:rPr>
        <w:t>一般民眾待八月中開放報名</w:t>
      </w:r>
    </w:p>
    <w:sectPr w:rsidR="0043337A" w:rsidRPr="0043337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36" w:rsidRDefault="006C5236" w:rsidP="00AD7E4E">
      <w:pPr>
        <w:spacing w:line="240" w:lineRule="auto"/>
      </w:pPr>
      <w:r>
        <w:separator/>
      </w:r>
    </w:p>
  </w:endnote>
  <w:endnote w:type="continuationSeparator" w:id="0">
    <w:p w:rsidR="006C5236" w:rsidRDefault="006C5236" w:rsidP="00AD7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36" w:rsidRDefault="006C5236" w:rsidP="00AD7E4E">
      <w:pPr>
        <w:spacing w:line="240" w:lineRule="auto"/>
      </w:pPr>
      <w:r>
        <w:separator/>
      </w:r>
    </w:p>
  </w:footnote>
  <w:footnote w:type="continuationSeparator" w:id="0">
    <w:p w:rsidR="006C5236" w:rsidRDefault="006C5236" w:rsidP="00AD7E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6F7D"/>
    <w:rsid w:val="0043337A"/>
    <w:rsid w:val="00566F7D"/>
    <w:rsid w:val="006C5236"/>
    <w:rsid w:val="00AD7E4E"/>
    <w:rsid w:val="00FA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AD7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7E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7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7E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AD7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7E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7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7E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2015-07-22T08:54:00Z</dcterms:created>
  <dcterms:modified xsi:type="dcterms:W3CDTF">2015-07-22T10:06:00Z</dcterms:modified>
</cp:coreProperties>
</file>